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71F" w:rsidRPr="001E3948" w:rsidRDefault="000B071F" w:rsidP="000B071F">
      <w:pPr>
        <w:pBdr>
          <w:bottom w:val="single" w:sz="12" w:space="4" w:color="005A84"/>
        </w:pBdr>
        <w:shd w:val="clear" w:color="auto" w:fill="FFFFFF"/>
        <w:spacing w:after="195" w:line="300" w:lineRule="atLeast"/>
        <w:outlineLvl w:val="0"/>
        <w:rPr>
          <w:rFonts w:ascii="Arial" w:eastAsia="Times New Roman" w:hAnsi="Arial" w:cs="Arial"/>
          <w:b/>
          <w:bCs/>
          <w:color w:val="005A84"/>
          <w:kern w:val="36"/>
          <w:sz w:val="26"/>
          <w:szCs w:val="26"/>
          <w:lang w:eastAsia="en-GB"/>
        </w:rPr>
      </w:pPr>
      <w:r w:rsidRPr="001E3948">
        <w:rPr>
          <w:rFonts w:ascii="Arial" w:eastAsia="Times New Roman" w:hAnsi="Arial" w:cs="Arial"/>
          <w:b/>
          <w:bCs/>
          <w:color w:val="005A84"/>
          <w:kern w:val="36"/>
          <w:sz w:val="26"/>
          <w:szCs w:val="26"/>
          <w:lang w:eastAsia="en-GB"/>
        </w:rPr>
        <w:t xml:space="preserve">Corporate </w:t>
      </w:r>
      <w:r>
        <w:rPr>
          <w:rFonts w:ascii="Arial" w:eastAsia="Times New Roman" w:hAnsi="Arial" w:cs="Arial"/>
          <w:b/>
          <w:bCs/>
          <w:color w:val="005A84"/>
          <w:kern w:val="36"/>
          <w:sz w:val="26"/>
          <w:szCs w:val="26"/>
          <w:lang w:eastAsia="en-GB"/>
        </w:rPr>
        <w:t xml:space="preserve">and Financial Planning </w:t>
      </w:r>
    </w:p>
    <w:p w:rsidR="000B071F" w:rsidRPr="001E3948" w:rsidRDefault="000B071F" w:rsidP="000B071F">
      <w:pPr>
        <w:shd w:val="clear" w:color="auto" w:fill="FFFFFF"/>
        <w:spacing w:after="210" w:line="270" w:lineRule="atLeast"/>
        <w:rPr>
          <w:rFonts w:ascii="Arial" w:hAnsi="Arial" w:cs="Arial"/>
          <w:color w:val="808080" w:themeColor="background1" w:themeShade="80"/>
          <w:sz w:val="20"/>
          <w:szCs w:val="20"/>
          <w:shd w:val="clear" w:color="auto" w:fill="FFFFFF"/>
        </w:rPr>
      </w:pPr>
      <w:r w:rsidRPr="009A1311">
        <w:rPr>
          <w:rFonts w:ascii="Arial" w:hAnsi="Arial" w:cs="Arial"/>
          <w:bCs/>
          <w:color w:val="808080" w:themeColor="background1" w:themeShade="80"/>
          <w:sz w:val="20"/>
          <w:szCs w:val="20"/>
          <w:shd w:val="clear" w:color="auto" w:fill="FFFFFF"/>
        </w:rPr>
        <w:t>Corporate finance</w:t>
      </w:r>
      <w:r w:rsidRPr="009A1311">
        <w:rPr>
          <w:rStyle w:val="apple-converted-space"/>
          <w:rFonts w:ascii="Arial" w:hAnsi="Arial" w:cs="Arial"/>
          <w:color w:val="808080" w:themeColor="background1" w:themeShade="80"/>
          <w:sz w:val="20"/>
          <w:szCs w:val="20"/>
          <w:shd w:val="clear" w:color="auto" w:fill="FFFFFF"/>
        </w:rPr>
        <w:t> </w:t>
      </w:r>
      <w:r w:rsidRPr="009A1311">
        <w:rPr>
          <w:rFonts w:ascii="Arial" w:hAnsi="Arial" w:cs="Arial"/>
          <w:color w:val="808080" w:themeColor="background1" w:themeShade="80"/>
          <w:sz w:val="20"/>
          <w:szCs w:val="20"/>
          <w:shd w:val="clear" w:color="auto" w:fill="FFFFFF"/>
        </w:rPr>
        <w:t>is the area of</w:t>
      </w:r>
      <w:r w:rsidRPr="009A1311">
        <w:rPr>
          <w:rStyle w:val="apple-converted-space"/>
          <w:rFonts w:ascii="Arial" w:hAnsi="Arial" w:cs="Arial"/>
          <w:color w:val="808080" w:themeColor="background1" w:themeShade="80"/>
          <w:sz w:val="20"/>
          <w:szCs w:val="20"/>
          <w:shd w:val="clear" w:color="auto" w:fill="FFFFFF"/>
        </w:rPr>
        <w:t> </w:t>
      </w:r>
      <w:r w:rsidRPr="009A1311">
        <w:rPr>
          <w:rFonts w:ascii="Arial" w:hAnsi="Arial" w:cs="Arial"/>
          <w:bCs/>
          <w:color w:val="808080" w:themeColor="background1" w:themeShade="80"/>
          <w:sz w:val="20"/>
          <w:szCs w:val="20"/>
          <w:shd w:val="clear" w:color="auto" w:fill="FFFFFF"/>
        </w:rPr>
        <w:t>finance</w:t>
      </w:r>
      <w:r w:rsidRPr="009A1311">
        <w:rPr>
          <w:rStyle w:val="apple-converted-space"/>
          <w:rFonts w:ascii="Arial" w:hAnsi="Arial" w:cs="Arial"/>
          <w:color w:val="808080" w:themeColor="background1" w:themeShade="80"/>
          <w:sz w:val="20"/>
          <w:szCs w:val="20"/>
          <w:shd w:val="clear" w:color="auto" w:fill="FFFFFF"/>
        </w:rPr>
        <w:t> </w:t>
      </w:r>
      <w:r w:rsidRPr="009A1311">
        <w:rPr>
          <w:rFonts w:ascii="Arial" w:hAnsi="Arial" w:cs="Arial"/>
          <w:color w:val="808080" w:themeColor="background1" w:themeShade="80"/>
          <w:sz w:val="20"/>
          <w:szCs w:val="20"/>
          <w:shd w:val="clear" w:color="auto" w:fill="FFFFFF"/>
        </w:rPr>
        <w:t>dealing with the sources of funding and the capital structure of</w:t>
      </w:r>
      <w:r w:rsidRPr="009A1311">
        <w:rPr>
          <w:rStyle w:val="apple-converted-space"/>
          <w:rFonts w:ascii="Arial" w:hAnsi="Arial" w:cs="Arial"/>
          <w:color w:val="808080" w:themeColor="background1" w:themeShade="80"/>
          <w:sz w:val="20"/>
          <w:szCs w:val="20"/>
          <w:shd w:val="clear" w:color="auto" w:fill="FFFFFF"/>
        </w:rPr>
        <w:t> </w:t>
      </w:r>
      <w:r w:rsidRPr="009A1311">
        <w:rPr>
          <w:rFonts w:ascii="Arial" w:hAnsi="Arial" w:cs="Arial"/>
          <w:bCs/>
          <w:color w:val="808080" w:themeColor="background1" w:themeShade="80"/>
          <w:sz w:val="20"/>
          <w:szCs w:val="20"/>
          <w:shd w:val="clear" w:color="auto" w:fill="FFFFFF"/>
        </w:rPr>
        <w:t>corporations</w:t>
      </w:r>
      <w:r w:rsidRPr="009A1311">
        <w:rPr>
          <w:rStyle w:val="apple-converted-space"/>
          <w:rFonts w:ascii="Arial" w:hAnsi="Arial" w:cs="Arial"/>
          <w:color w:val="808080" w:themeColor="background1" w:themeShade="80"/>
          <w:sz w:val="20"/>
          <w:szCs w:val="20"/>
          <w:shd w:val="clear" w:color="auto" w:fill="FFFFFF"/>
        </w:rPr>
        <w:t> </w:t>
      </w:r>
      <w:r w:rsidRPr="009A1311">
        <w:rPr>
          <w:rFonts w:ascii="Arial" w:hAnsi="Arial" w:cs="Arial"/>
          <w:color w:val="808080" w:themeColor="background1" w:themeShade="80"/>
          <w:sz w:val="20"/>
          <w:szCs w:val="20"/>
          <w:shd w:val="clear" w:color="auto" w:fill="FFFFFF"/>
        </w:rPr>
        <w:t>and the actions that managers or owner-managed businesses take to increase the value of the firm and the shareholders. Our team advise you the best tools and analysis to allocate</w:t>
      </w:r>
      <w:r w:rsidRPr="009A1311">
        <w:rPr>
          <w:rStyle w:val="apple-converted-space"/>
          <w:rFonts w:ascii="Arial" w:hAnsi="Arial" w:cs="Arial"/>
          <w:color w:val="808080" w:themeColor="background1" w:themeShade="80"/>
          <w:sz w:val="20"/>
          <w:szCs w:val="20"/>
          <w:shd w:val="clear" w:color="auto" w:fill="FFFFFF"/>
        </w:rPr>
        <w:t> </w:t>
      </w:r>
      <w:r w:rsidRPr="009A1311">
        <w:rPr>
          <w:rFonts w:ascii="Arial" w:hAnsi="Arial" w:cs="Arial"/>
          <w:bCs/>
          <w:color w:val="808080" w:themeColor="background1" w:themeShade="80"/>
          <w:sz w:val="20"/>
          <w:szCs w:val="20"/>
          <w:shd w:val="clear" w:color="auto" w:fill="FFFFFF"/>
        </w:rPr>
        <w:t>financial</w:t>
      </w:r>
      <w:r w:rsidRPr="009A1311">
        <w:rPr>
          <w:rStyle w:val="apple-converted-space"/>
          <w:rFonts w:ascii="Arial" w:hAnsi="Arial" w:cs="Arial"/>
          <w:color w:val="808080" w:themeColor="background1" w:themeShade="80"/>
          <w:sz w:val="20"/>
          <w:szCs w:val="20"/>
          <w:shd w:val="clear" w:color="auto" w:fill="FFFFFF"/>
        </w:rPr>
        <w:t> </w:t>
      </w:r>
      <w:r w:rsidRPr="009A1311">
        <w:rPr>
          <w:rFonts w:ascii="Arial" w:hAnsi="Arial" w:cs="Arial"/>
          <w:color w:val="808080" w:themeColor="background1" w:themeShade="80"/>
          <w:sz w:val="20"/>
          <w:szCs w:val="20"/>
          <w:shd w:val="clear" w:color="auto" w:fill="FFFFFF"/>
        </w:rPr>
        <w:t xml:space="preserve">resources. </w:t>
      </w:r>
      <w:r w:rsidRPr="009A1311">
        <w:rPr>
          <w:rFonts w:ascii="Arial" w:eastAsia="Times New Roman" w:hAnsi="Arial" w:cs="Arial"/>
          <w:color w:val="808080" w:themeColor="background1" w:themeShade="80"/>
          <w:sz w:val="20"/>
          <w:szCs w:val="20"/>
          <w:lang w:eastAsia="en-GB"/>
        </w:rPr>
        <w:t>Fajar Capital Ltd is regulated for a range of investment business activities by the Association of Chartered Certified Accountants</w:t>
      </w:r>
      <w:r w:rsidRPr="001E3948">
        <w:rPr>
          <w:rFonts w:ascii="Arial" w:eastAsia="Times New Roman" w:hAnsi="Arial" w:cs="Arial"/>
          <w:color w:val="808080" w:themeColor="background1" w:themeShade="80"/>
          <w:sz w:val="20"/>
          <w:szCs w:val="20"/>
          <w:lang w:eastAsia="en-GB"/>
        </w:rPr>
        <w:t>:</w:t>
      </w:r>
    </w:p>
    <w:p w:rsidR="000B071F" w:rsidRPr="001E3948" w:rsidRDefault="000B071F" w:rsidP="000B071F">
      <w:pPr>
        <w:shd w:val="clear" w:color="auto" w:fill="FFFFFF"/>
        <w:spacing w:after="0" w:line="270" w:lineRule="atLeast"/>
        <w:rPr>
          <w:rFonts w:ascii="Arial" w:eastAsia="Times New Roman" w:hAnsi="Arial" w:cs="Arial"/>
          <w:color w:val="808080" w:themeColor="background1" w:themeShade="80"/>
          <w:sz w:val="20"/>
          <w:szCs w:val="20"/>
          <w:lang w:eastAsia="en-GB"/>
        </w:rPr>
      </w:pPr>
      <w:r w:rsidRPr="009A1311">
        <w:rPr>
          <w:rFonts w:ascii="Arial" w:eastAsia="Times New Roman" w:hAnsi="Arial" w:cs="Arial"/>
          <w:bCs/>
          <w:color w:val="808080" w:themeColor="background1" w:themeShade="80"/>
          <w:sz w:val="20"/>
          <w:szCs w:val="20"/>
          <w:bdr w:val="none" w:sz="0" w:space="0" w:color="auto" w:frame="1"/>
          <w:lang w:eastAsia="en-GB"/>
        </w:rPr>
        <w:t>Services</w:t>
      </w:r>
    </w:p>
    <w:p w:rsidR="000B071F" w:rsidRPr="009A1311" w:rsidRDefault="000B071F" w:rsidP="000B071F">
      <w:pPr>
        <w:pStyle w:val="ListParagraph"/>
        <w:numPr>
          <w:ilvl w:val="0"/>
          <w:numId w:val="1"/>
        </w:numPr>
        <w:shd w:val="clear" w:color="auto" w:fill="FFFFFF"/>
        <w:spacing w:after="0" w:line="270" w:lineRule="atLeast"/>
        <w:rPr>
          <w:rFonts w:ascii="Arial" w:eastAsia="Times New Roman" w:hAnsi="Arial" w:cs="Arial"/>
          <w:color w:val="808080" w:themeColor="background1" w:themeShade="80"/>
          <w:sz w:val="20"/>
          <w:szCs w:val="20"/>
          <w:lang w:eastAsia="en-GB"/>
        </w:rPr>
      </w:pPr>
      <w:r w:rsidRPr="009A1311">
        <w:rPr>
          <w:rFonts w:ascii="Arial" w:eastAsia="Times New Roman" w:hAnsi="Arial" w:cs="Arial"/>
          <w:color w:val="808080" w:themeColor="background1" w:themeShade="80"/>
          <w:sz w:val="20"/>
          <w:szCs w:val="20"/>
          <w:lang w:eastAsia="en-GB"/>
        </w:rPr>
        <w:t>Valuations</w:t>
      </w:r>
    </w:p>
    <w:p w:rsidR="000B071F" w:rsidRDefault="000B071F" w:rsidP="000B071F">
      <w:pPr>
        <w:pStyle w:val="ListParagraph"/>
        <w:numPr>
          <w:ilvl w:val="0"/>
          <w:numId w:val="1"/>
        </w:numPr>
        <w:shd w:val="clear" w:color="auto" w:fill="FFFFFF"/>
        <w:spacing w:after="0" w:line="270" w:lineRule="atLeast"/>
        <w:rPr>
          <w:rFonts w:ascii="Arial" w:eastAsia="Times New Roman" w:hAnsi="Arial" w:cs="Arial"/>
          <w:color w:val="808080" w:themeColor="background1" w:themeShade="80"/>
          <w:sz w:val="20"/>
          <w:szCs w:val="20"/>
          <w:lang w:eastAsia="en-GB"/>
        </w:rPr>
      </w:pPr>
      <w:r w:rsidRPr="009A1311">
        <w:rPr>
          <w:rFonts w:ascii="Arial" w:eastAsia="Times New Roman" w:hAnsi="Arial" w:cs="Arial"/>
          <w:color w:val="808080" w:themeColor="background1" w:themeShade="80"/>
          <w:sz w:val="20"/>
          <w:szCs w:val="20"/>
          <w:lang w:eastAsia="en-GB"/>
        </w:rPr>
        <w:t>Corporate advice &amp; growth strategy</w:t>
      </w:r>
    </w:p>
    <w:p w:rsidR="000B071F" w:rsidRDefault="000B071F" w:rsidP="000B071F">
      <w:pPr>
        <w:pStyle w:val="ListParagraph"/>
        <w:numPr>
          <w:ilvl w:val="0"/>
          <w:numId w:val="1"/>
        </w:numPr>
        <w:shd w:val="clear" w:color="auto" w:fill="FFFFFF"/>
        <w:spacing w:after="0" w:line="270" w:lineRule="atLeast"/>
        <w:rPr>
          <w:rFonts w:ascii="Arial" w:eastAsia="Times New Roman" w:hAnsi="Arial" w:cs="Arial"/>
          <w:color w:val="808080" w:themeColor="background1" w:themeShade="80"/>
          <w:sz w:val="20"/>
          <w:szCs w:val="20"/>
          <w:lang w:eastAsia="en-GB"/>
        </w:rPr>
      </w:pPr>
      <w:r w:rsidRPr="009A1311">
        <w:rPr>
          <w:rFonts w:ascii="Arial" w:eastAsia="Times New Roman" w:hAnsi="Arial" w:cs="Arial"/>
          <w:color w:val="808080" w:themeColor="background1" w:themeShade="80"/>
          <w:sz w:val="20"/>
          <w:szCs w:val="20"/>
          <w:lang w:eastAsia="en-GB"/>
        </w:rPr>
        <w:t>Sell &amp; buy</w:t>
      </w:r>
    </w:p>
    <w:p w:rsidR="000B071F" w:rsidRDefault="000B071F" w:rsidP="000B071F">
      <w:pPr>
        <w:pStyle w:val="ListParagraph"/>
        <w:numPr>
          <w:ilvl w:val="0"/>
          <w:numId w:val="1"/>
        </w:numPr>
        <w:shd w:val="clear" w:color="auto" w:fill="FFFFFF"/>
        <w:spacing w:after="0" w:line="270" w:lineRule="atLeast"/>
        <w:rPr>
          <w:rFonts w:ascii="Arial" w:eastAsia="Times New Roman" w:hAnsi="Arial" w:cs="Arial"/>
          <w:color w:val="808080" w:themeColor="background1" w:themeShade="80"/>
          <w:sz w:val="20"/>
          <w:szCs w:val="20"/>
          <w:lang w:eastAsia="en-GB"/>
        </w:rPr>
      </w:pPr>
      <w:r w:rsidRPr="009A1311">
        <w:rPr>
          <w:rFonts w:ascii="Arial" w:eastAsia="Times New Roman" w:hAnsi="Arial" w:cs="Arial"/>
          <w:color w:val="808080" w:themeColor="background1" w:themeShade="80"/>
          <w:sz w:val="20"/>
          <w:szCs w:val="20"/>
          <w:lang w:eastAsia="en-GB"/>
        </w:rPr>
        <w:t>Business plans and modelling</w:t>
      </w:r>
    </w:p>
    <w:p w:rsidR="000B071F" w:rsidRDefault="000B071F" w:rsidP="000B071F">
      <w:pPr>
        <w:pStyle w:val="ListParagraph"/>
        <w:numPr>
          <w:ilvl w:val="0"/>
          <w:numId w:val="1"/>
        </w:numPr>
        <w:shd w:val="clear" w:color="auto" w:fill="FFFFFF"/>
        <w:spacing w:after="0" w:line="270" w:lineRule="atLeast"/>
        <w:rPr>
          <w:rFonts w:ascii="Arial" w:eastAsia="Times New Roman" w:hAnsi="Arial" w:cs="Arial"/>
          <w:color w:val="808080" w:themeColor="background1" w:themeShade="80"/>
          <w:sz w:val="20"/>
          <w:szCs w:val="20"/>
          <w:lang w:eastAsia="en-GB"/>
        </w:rPr>
      </w:pPr>
      <w:r w:rsidRPr="009A1311">
        <w:rPr>
          <w:rFonts w:ascii="Arial" w:eastAsia="Times New Roman" w:hAnsi="Arial" w:cs="Arial"/>
          <w:color w:val="808080" w:themeColor="background1" w:themeShade="80"/>
          <w:sz w:val="20"/>
          <w:szCs w:val="20"/>
          <w:lang w:eastAsia="en-GB"/>
        </w:rPr>
        <w:t>Transaction Services support, including due diligence reports for purchasers</w:t>
      </w:r>
    </w:p>
    <w:p w:rsidR="000B071F" w:rsidRPr="009A1311" w:rsidRDefault="000B071F" w:rsidP="000B071F">
      <w:pPr>
        <w:pStyle w:val="ListParagraph"/>
        <w:numPr>
          <w:ilvl w:val="0"/>
          <w:numId w:val="1"/>
        </w:numPr>
        <w:shd w:val="clear" w:color="auto" w:fill="FFFFFF"/>
        <w:spacing w:after="0" w:line="270" w:lineRule="atLeast"/>
        <w:rPr>
          <w:rFonts w:ascii="Arial" w:eastAsia="Times New Roman" w:hAnsi="Arial" w:cs="Arial"/>
          <w:color w:val="808080" w:themeColor="background1" w:themeShade="80"/>
          <w:sz w:val="20"/>
          <w:szCs w:val="20"/>
          <w:lang w:eastAsia="en-GB"/>
        </w:rPr>
      </w:pPr>
      <w:r w:rsidRPr="009A1311">
        <w:rPr>
          <w:rFonts w:ascii="Arial" w:eastAsia="Times New Roman" w:hAnsi="Arial" w:cs="Arial"/>
          <w:color w:val="808080" w:themeColor="background1" w:themeShade="80"/>
          <w:sz w:val="20"/>
          <w:szCs w:val="20"/>
          <w:lang w:eastAsia="en-GB"/>
        </w:rPr>
        <w:t>Grant Funding</w:t>
      </w:r>
    </w:p>
    <w:p w:rsidR="000B071F" w:rsidRPr="009A1311" w:rsidRDefault="000B071F" w:rsidP="000B071F">
      <w:pPr>
        <w:shd w:val="clear" w:color="auto" w:fill="FFFFFF"/>
        <w:spacing w:after="0" w:line="270" w:lineRule="atLeast"/>
        <w:rPr>
          <w:rFonts w:ascii="Arial" w:eastAsia="Times New Roman" w:hAnsi="Arial" w:cs="Arial"/>
          <w:color w:val="808080" w:themeColor="background1" w:themeShade="80"/>
          <w:sz w:val="20"/>
          <w:szCs w:val="20"/>
          <w:lang w:eastAsia="en-GB"/>
        </w:rPr>
      </w:pPr>
    </w:p>
    <w:p w:rsidR="000B071F" w:rsidRPr="009A1311" w:rsidRDefault="000B071F" w:rsidP="000B071F">
      <w:pPr>
        <w:shd w:val="clear" w:color="auto" w:fill="FFFFFF"/>
        <w:spacing w:after="210" w:line="270" w:lineRule="atLeast"/>
        <w:rPr>
          <w:rFonts w:ascii="Arial" w:eastAsia="Times New Roman" w:hAnsi="Arial" w:cs="Arial"/>
          <w:color w:val="808080" w:themeColor="background1" w:themeShade="80"/>
          <w:sz w:val="20"/>
          <w:szCs w:val="20"/>
          <w:lang w:eastAsia="en-GB"/>
        </w:rPr>
      </w:pPr>
      <w:r w:rsidRPr="009A1311">
        <w:rPr>
          <w:rFonts w:ascii="Arial" w:eastAsia="Times New Roman" w:hAnsi="Arial" w:cs="Arial"/>
          <w:color w:val="808080" w:themeColor="background1" w:themeShade="80"/>
          <w:sz w:val="20"/>
          <w:szCs w:val="20"/>
          <w:lang w:eastAsia="en-GB"/>
        </w:rPr>
        <w:t>Below are just a few of the solutions we can assist with:</w:t>
      </w:r>
    </w:p>
    <w:p w:rsidR="000B071F" w:rsidRPr="009A1311" w:rsidRDefault="000B071F" w:rsidP="000B071F">
      <w:pPr>
        <w:numPr>
          <w:ilvl w:val="0"/>
          <w:numId w:val="2"/>
        </w:numPr>
        <w:shd w:val="clear" w:color="auto" w:fill="FFFFFF"/>
        <w:spacing w:after="0" w:line="270" w:lineRule="atLeast"/>
        <w:ind w:left="0"/>
        <w:rPr>
          <w:rFonts w:ascii="Arial" w:eastAsia="Times New Roman" w:hAnsi="Arial" w:cs="Arial"/>
          <w:color w:val="808080" w:themeColor="background1" w:themeShade="80"/>
          <w:sz w:val="20"/>
          <w:szCs w:val="20"/>
          <w:lang w:eastAsia="en-GB"/>
        </w:rPr>
      </w:pPr>
      <w:r w:rsidRPr="009A1311">
        <w:rPr>
          <w:rFonts w:ascii="Arial" w:eastAsia="Times New Roman" w:hAnsi="Arial" w:cs="Arial"/>
          <w:color w:val="808080" w:themeColor="background1" w:themeShade="80"/>
          <w:sz w:val="20"/>
          <w:szCs w:val="20"/>
          <w:lang w:eastAsia="en-GB"/>
        </w:rPr>
        <w:t>R&amp;D grants – R&amp;D grants are awarded to micro, SME and larger companies. There are three elements that are needed to be eligible for grant funding: innovative ideas, a degree of technical risk and market potential.</w:t>
      </w:r>
    </w:p>
    <w:p w:rsidR="000B071F" w:rsidRPr="009A1311" w:rsidRDefault="000B071F" w:rsidP="000B071F">
      <w:pPr>
        <w:numPr>
          <w:ilvl w:val="0"/>
          <w:numId w:val="2"/>
        </w:numPr>
        <w:shd w:val="clear" w:color="auto" w:fill="FFFFFF"/>
        <w:spacing w:after="0" w:line="270" w:lineRule="atLeast"/>
        <w:ind w:left="0"/>
        <w:rPr>
          <w:rFonts w:ascii="Arial" w:eastAsia="Times New Roman" w:hAnsi="Arial" w:cs="Arial"/>
          <w:color w:val="808080" w:themeColor="background1" w:themeShade="80"/>
          <w:sz w:val="20"/>
          <w:szCs w:val="20"/>
          <w:lang w:eastAsia="en-GB"/>
        </w:rPr>
      </w:pPr>
      <w:r w:rsidRPr="009A1311">
        <w:rPr>
          <w:rFonts w:ascii="Arial" w:eastAsia="Times New Roman" w:hAnsi="Arial" w:cs="Arial"/>
          <w:color w:val="808080" w:themeColor="background1" w:themeShade="80"/>
          <w:sz w:val="20"/>
          <w:szCs w:val="20"/>
          <w:lang w:eastAsia="en-GB"/>
        </w:rPr>
        <w:t>Capital grants – The £3.2bn Regional Growth Fund (RGF) supports eligible projects and programmes to create economic growth and sustainable employment. Over £800m has been awarded to small and medium sized businesses across the country since the programme began.</w:t>
      </w:r>
    </w:p>
    <w:p w:rsidR="000B071F" w:rsidRPr="009A1311" w:rsidRDefault="000B071F" w:rsidP="000B071F">
      <w:pPr>
        <w:numPr>
          <w:ilvl w:val="0"/>
          <w:numId w:val="2"/>
        </w:numPr>
        <w:shd w:val="clear" w:color="auto" w:fill="FFFFFF"/>
        <w:spacing w:after="0" w:line="270" w:lineRule="atLeast"/>
        <w:ind w:left="0"/>
        <w:rPr>
          <w:rFonts w:ascii="Arial" w:eastAsia="Times New Roman" w:hAnsi="Arial" w:cs="Arial"/>
          <w:color w:val="808080" w:themeColor="background1" w:themeShade="80"/>
          <w:sz w:val="20"/>
          <w:szCs w:val="20"/>
          <w:lang w:eastAsia="en-GB"/>
        </w:rPr>
      </w:pPr>
      <w:r w:rsidRPr="009A1311">
        <w:rPr>
          <w:rFonts w:ascii="Arial" w:eastAsia="Times New Roman" w:hAnsi="Arial" w:cs="Arial"/>
          <w:color w:val="808080" w:themeColor="background1" w:themeShade="80"/>
          <w:sz w:val="20"/>
          <w:szCs w:val="20"/>
          <w:lang w:eastAsia="en-GB"/>
        </w:rPr>
        <w:t>Innovate UK collaborative R&amp;D grants – Innovate UK (formerly The Technology Strategy Board) collaborative projects are designed to assist industrial and research communities to work together on R&amp;D projects.</w:t>
      </w:r>
    </w:p>
    <w:p w:rsidR="000B071F" w:rsidRPr="009A1311" w:rsidRDefault="000B071F" w:rsidP="000B071F">
      <w:pPr>
        <w:numPr>
          <w:ilvl w:val="0"/>
          <w:numId w:val="2"/>
        </w:numPr>
        <w:shd w:val="clear" w:color="auto" w:fill="FFFFFF"/>
        <w:spacing w:after="0" w:line="270" w:lineRule="atLeast"/>
        <w:ind w:left="0"/>
        <w:rPr>
          <w:rFonts w:ascii="Arial" w:eastAsia="Times New Roman" w:hAnsi="Arial" w:cs="Arial"/>
          <w:color w:val="808080" w:themeColor="background1" w:themeShade="80"/>
          <w:sz w:val="20"/>
          <w:szCs w:val="20"/>
          <w:lang w:eastAsia="en-GB"/>
        </w:rPr>
      </w:pPr>
      <w:r w:rsidRPr="009A1311">
        <w:rPr>
          <w:rFonts w:ascii="Arial" w:eastAsia="Times New Roman" w:hAnsi="Arial" w:cs="Arial"/>
          <w:color w:val="808080" w:themeColor="background1" w:themeShade="80"/>
          <w:sz w:val="20"/>
          <w:szCs w:val="20"/>
          <w:lang w:eastAsia="en-GB"/>
        </w:rPr>
        <w:t>Horizon2020 Dedicated SME Instrument (DSI) is the EU’s new programme for research and innovation. It will run from 2014 to 2020 and is the biggest EU Research and Innovation programme ever, with nearly €80 billion of funding available over seven years.</w:t>
      </w:r>
    </w:p>
    <w:p w:rsidR="000B071F" w:rsidRPr="009A1311" w:rsidRDefault="000B071F" w:rsidP="000B071F">
      <w:pPr>
        <w:numPr>
          <w:ilvl w:val="0"/>
          <w:numId w:val="2"/>
        </w:numPr>
        <w:shd w:val="clear" w:color="auto" w:fill="FFFFFF"/>
        <w:spacing w:after="0" w:line="270" w:lineRule="atLeast"/>
        <w:ind w:left="0"/>
        <w:rPr>
          <w:rFonts w:ascii="Arial" w:eastAsia="Times New Roman" w:hAnsi="Arial" w:cs="Arial"/>
          <w:color w:val="808080" w:themeColor="background1" w:themeShade="80"/>
          <w:sz w:val="20"/>
          <w:szCs w:val="20"/>
          <w:lang w:eastAsia="en-GB"/>
        </w:rPr>
      </w:pPr>
      <w:r w:rsidRPr="009A1311">
        <w:rPr>
          <w:rFonts w:ascii="Arial" w:eastAsia="Times New Roman" w:hAnsi="Arial" w:cs="Arial"/>
          <w:color w:val="808080" w:themeColor="background1" w:themeShade="80"/>
          <w:sz w:val="20"/>
          <w:szCs w:val="20"/>
          <w:lang w:eastAsia="en-GB"/>
        </w:rPr>
        <w:t>Peer to business funding – Our peer to business funding partners offer an online marketplace where people and organisations lend directly to businesses for expansion and growth, asset purchase, working capital and cash flow finance and property development and investment.</w:t>
      </w:r>
    </w:p>
    <w:p w:rsidR="000B071F" w:rsidRPr="009A1311" w:rsidRDefault="000B071F" w:rsidP="000B071F">
      <w:pPr>
        <w:shd w:val="clear" w:color="auto" w:fill="FFFFFF"/>
        <w:spacing w:after="210" w:line="270" w:lineRule="atLeast"/>
        <w:rPr>
          <w:rFonts w:ascii="Arial" w:eastAsia="Times New Roman" w:hAnsi="Arial" w:cs="Arial"/>
          <w:color w:val="808080" w:themeColor="background1" w:themeShade="80"/>
          <w:sz w:val="20"/>
          <w:szCs w:val="20"/>
          <w:lang w:eastAsia="en-GB"/>
        </w:rPr>
      </w:pPr>
      <w:r w:rsidRPr="009A1311">
        <w:rPr>
          <w:rFonts w:ascii="Arial" w:eastAsia="Times New Roman" w:hAnsi="Arial" w:cs="Arial"/>
          <w:color w:val="808080" w:themeColor="background1" w:themeShade="80"/>
          <w:sz w:val="20"/>
          <w:szCs w:val="20"/>
          <w:lang w:eastAsia="en-GB"/>
        </w:rPr>
        <w:t>The right type of funding will depend on your specific business needs. Our specialists are always happy to discuss your requirements and after a brief meeting or telephone conversation, we will be able to advise on the most appropriate funding available</w:t>
      </w:r>
    </w:p>
    <w:p w:rsidR="0069020E" w:rsidRDefault="0069020E">
      <w:bookmarkStart w:id="0" w:name="_GoBack"/>
      <w:bookmarkEnd w:id="0"/>
    </w:p>
    <w:sectPr w:rsidR="006902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302D7"/>
    <w:multiLevelType w:val="multilevel"/>
    <w:tmpl w:val="6712A9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D34EA4"/>
    <w:multiLevelType w:val="multilevel"/>
    <w:tmpl w:val="898E7EA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71F"/>
    <w:rsid w:val="000B071F"/>
    <w:rsid w:val="00186FCC"/>
    <w:rsid w:val="0069020E"/>
    <w:rsid w:val="00CB4C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3165B9-4200-4CA1-A6A1-FCD2ECE54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B07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B071F"/>
  </w:style>
  <w:style w:type="paragraph" w:styleId="ListParagraph">
    <w:name w:val="List Paragraph"/>
    <w:basedOn w:val="Normal"/>
    <w:uiPriority w:val="34"/>
    <w:qFormat/>
    <w:rsid w:val="000B07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1868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Fazal</dc:creator>
  <cp:keywords/>
  <dc:description/>
  <cp:lastModifiedBy>Fazal</cp:lastModifiedBy>
  <cp:revision>1</cp:revision>
  <dcterms:created xsi:type="dcterms:W3CDTF">2016-12-10T23:00:00Z</dcterms:created>
  <dcterms:modified xsi:type="dcterms:W3CDTF">2016-12-10T23:00:00Z</dcterms:modified>
</cp:coreProperties>
</file>